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p>
    <w:p w:rsidR="00D6164F" w:rsidRPr="00AF1EC1" w:rsidRDefault="00D6164F" w:rsidP="00AF1EC1">
      <w:pPr>
        <w:spacing w:line="480" w:lineRule="auto"/>
        <w:jc w:val="center"/>
        <w:rPr>
          <w:rFonts w:ascii="Times New Roman" w:hAnsi="Times New Roman" w:cs="Times New Roman"/>
          <w:color w:val="1B1B1B"/>
          <w:sz w:val="24"/>
          <w:szCs w:val="24"/>
          <w:shd w:val="clear" w:color="auto" w:fill="FFFFFF"/>
        </w:rPr>
      </w:pPr>
      <w:r w:rsidRPr="00AF1EC1">
        <w:rPr>
          <w:rFonts w:ascii="Times New Roman" w:hAnsi="Times New Roman" w:cs="Times New Roman"/>
          <w:color w:val="1B1B1B"/>
          <w:sz w:val="24"/>
          <w:szCs w:val="24"/>
          <w:shd w:val="clear" w:color="auto" w:fill="FFFFFF"/>
        </w:rPr>
        <w:t>Human Development in Higher Education.</w:t>
      </w:r>
    </w:p>
    <w:p w:rsidR="00D6164F" w:rsidRPr="00AF1EC1" w:rsidRDefault="00D6164F" w:rsidP="00AF1EC1">
      <w:pPr>
        <w:spacing w:line="480" w:lineRule="auto"/>
        <w:jc w:val="center"/>
        <w:rPr>
          <w:rFonts w:ascii="Times New Roman" w:hAnsi="Times New Roman" w:cs="Times New Roman"/>
          <w:color w:val="1B1B1B"/>
          <w:sz w:val="24"/>
          <w:szCs w:val="24"/>
          <w:shd w:val="clear" w:color="auto" w:fill="FFFFFF"/>
        </w:rPr>
      </w:pPr>
      <w:r w:rsidRPr="00AF1EC1">
        <w:rPr>
          <w:rFonts w:ascii="Times New Roman" w:hAnsi="Times New Roman" w:cs="Times New Roman"/>
          <w:color w:val="1B1B1B"/>
          <w:sz w:val="24"/>
          <w:szCs w:val="24"/>
          <w:shd w:val="clear" w:color="auto" w:fill="FFFFFF"/>
        </w:rPr>
        <w:t>Name.</w:t>
      </w:r>
    </w:p>
    <w:p w:rsidR="00D6164F" w:rsidRPr="00AF1EC1" w:rsidRDefault="00D6164F" w:rsidP="00AF1EC1">
      <w:pPr>
        <w:spacing w:line="480" w:lineRule="auto"/>
        <w:jc w:val="center"/>
        <w:rPr>
          <w:rFonts w:ascii="Times New Roman" w:hAnsi="Times New Roman" w:cs="Times New Roman"/>
          <w:color w:val="1B1B1B"/>
          <w:sz w:val="24"/>
          <w:szCs w:val="24"/>
          <w:shd w:val="clear" w:color="auto" w:fill="FFFFFF"/>
        </w:rPr>
      </w:pPr>
      <w:r w:rsidRPr="00AF1EC1">
        <w:rPr>
          <w:rFonts w:ascii="Times New Roman" w:hAnsi="Times New Roman" w:cs="Times New Roman"/>
          <w:color w:val="1B1B1B"/>
          <w:sz w:val="24"/>
          <w:szCs w:val="24"/>
          <w:shd w:val="clear" w:color="auto" w:fill="FFFFFF"/>
        </w:rPr>
        <w:t>Institution.</w:t>
      </w:r>
    </w:p>
    <w:p w:rsidR="00D6164F" w:rsidRPr="00AF1EC1" w:rsidRDefault="00D6164F" w:rsidP="00AF1EC1">
      <w:pPr>
        <w:spacing w:line="480" w:lineRule="auto"/>
        <w:jc w:val="center"/>
        <w:rPr>
          <w:rFonts w:ascii="Times New Roman" w:hAnsi="Times New Roman" w:cs="Times New Roman"/>
          <w:color w:val="1B1B1B"/>
          <w:sz w:val="24"/>
          <w:szCs w:val="24"/>
          <w:shd w:val="clear" w:color="auto" w:fill="FFFFFF"/>
        </w:rPr>
      </w:pPr>
      <w:r w:rsidRPr="00AF1EC1">
        <w:rPr>
          <w:rFonts w:ascii="Times New Roman" w:hAnsi="Times New Roman" w:cs="Times New Roman"/>
          <w:color w:val="1B1B1B"/>
          <w:sz w:val="24"/>
          <w:szCs w:val="24"/>
          <w:shd w:val="clear" w:color="auto" w:fill="FFFFFF"/>
        </w:rPr>
        <w:t>Date.</w:t>
      </w:r>
    </w:p>
    <w:p w:rsidR="00AF1EC1" w:rsidRDefault="00AF1EC1" w:rsidP="00AF1EC1">
      <w:pPr>
        <w:spacing w:line="480" w:lineRule="auto"/>
        <w:jc w:val="center"/>
        <w:rPr>
          <w:rFonts w:ascii="Times New Roman" w:hAnsi="Times New Roman" w:cs="Times New Roman"/>
          <w:b/>
          <w:color w:val="1B1B1B"/>
          <w:sz w:val="24"/>
          <w:szCs w:val="24"/>
          <w:shd w:val="clear" w:color="auto" w:fill="FFFFFF"/>
        </w:rPr>
      </w:pPr>
    </w:p>
    <w:p w:rsidR="00AF1EC1" w:rsidRDefault="00AF1EC1" w:rsidP="00AF1EC1">
      <w:pPr>
        <w:spacing w:line="480" w:lineRule="auto"/>
        <w:jc w:val="center"/>
        <w:rPr>
          <w:rFonts w:ascii="Times New Roman" w:hAnsi="Times New Roman" w:cs="Times New Roman"/>
          <w:b/>
          <w:color w:val="1B1B1B"/>
          <w:sz w:val="24"/>
          <w:szCs w:val="24"/>
          <w:shd w:val="clear" w:color="auto" w:fill="FFFFFF"/>
        </w:rPr>
      </w:pPr>
    </w:p>
    <w:p w:rsidR="00AF1EC1" w:rsidRDefault="00AF1EC1" w:rsidP="00AF1EC1">
      <w:pPr>
        <w:spacing w:line="480" w:lineRule="auto"/>
        <w:jc w:val="center"/>
        <w:rPr>
          <w:rFonts w:ascii="Times New Roman" w:hAnsi="Times New Roman" w:cs="Times New Roman"/>
          <w:b/>
          <w:color w:val="1B1B1B"/>
          <w:sz w:val="24"/>
          <w:szCs w:val="24"/>
          <w:shd w:val="clear" w:color="auto" w:fill="FFFFFF"/>
        </w:rPr>
      </w:pPr>
    </w:p>
    <w:p w:rsidR="00AF1EC1" w:rsidRDefault="00AF1EC1" w:rsidP="00AF1EC1">
      <w:pPr>
        <w:spacing w:line="480" w:lineRule="auto"/>
        <w:jc w:val="center"/>
        <w:rPr>
          <w:rFonts w:ascii="Times New Roman" w:hAnsi="Times New Roman" w:cs="Times New Roman"/>
          <w:b/>
          <w:color w:val="1B1B1B"/>
          <w:sz w:val="24"/>
          <w:szCs w:val="24"/>
          <w:shd w:val="clear" w:color="auto" w:fill="FFFFFF"/>
        </w:rPr>
      </w:pPr>
    </w:p>
    <w:p w:rsidR="00AF1EC1" w:rsidRDefault="00AF1EC1" w:rsidP="00AF1EC1">
      <w:pPr>
        <w:spacing w:line="480" w:lineRule="auto"/>
        <w:jc w:val="center"/>
        <w:rPr>
          <w:rFonts w:ascii="Times New Roman" w:hAnsi="Times New Roman" w:cs="Times New Roman"/>
          <w:b/>
          <w:color w:val="1B1B1B"/>
          <w:sz w:val="24"/>
          <w:szCs w:val="24"/>
          <w:shd w:val="clear" w:color="auto" w:fill="FFFFFF"/>
        </w:rPr>
      </w:pPr>
    </w:p>
    <w:p w:rsidR="00AF1EC1" w:rsidRDefault="00AF1EC1" w:rsidP="00AF1EC1">
      <w:pPr>
        <w:spacing w:line="480" w:lineRule="auto"/>
        <w:jc w:val="center"/>
        <w:rPr>
          <w:rFonts w:ascii="Times New Roman" w:hAnsi="Times New Roman" w:cs="Times New Roman"/>
          <w:color w:val="1B1B1B"/>
          <w:sz w:val="24"/>
          <w:szCs w:val="24"/>
          <w:shd w:val="clear" w:color="auto" w:fill="FFFFFF"/>
        </w:rPr>
      </w:pPr>
      <w:r w:rsidRPr="00AF1EC1">
        <w:rPr>
          <w:rFonts w:ascii="Times New Roman" w:hAnsi="Times New Roman" w:cs="Times New Roman"/>
          <w:color w:val="1B1B1B"/>
          <w:sz w:val="24"/>
          <w:szCs w:val="24"/>
          <w:shd w:val="clear" w:color="auto" w:fill="FFFFFF"/>
        </w:rPr>
        <w:lastRenderedPageBreak/>
        <w:t>Human Development in Higher Education.</w:t>
      </w:r>
    </w:p>
    <w:p w:rsidR="00D6164F" w:rsidRPr="00AF1EC1" w:rsidRDefault="00AF1EC1" w:rsidP="00AF1EC1">
      <w:pPr>
        <w:spacing w:line="480" w:lineRule="auto"/>
        <w:jc w:val="center"/>
        <w:rPr>
          <w:rFonts w:ascii="Times New Roman" w:hAnsi="Times New Roman" w:cs="Times New Roman"/>
          <w:b/>
          <w:color w:val="1B1B1B"/>
          <w:sz w:val="24"/>
          <w:szCs w:val="24"/>
          <w:shd w:val="clear" w:color="auto" w:fill="FFFFFF"/>
        </w:rPr>
      </w:pPr>
      <w:r w:rsidRPr="00AF1EC1">
        <w:rPr>
          <w:rFonts w:ascii="Times New Roman" w:hAnsi="Times New Roman" w:cs="Times New Roman"/>
          <w:b/>
          <w:color w:val="1B1B1B"/>
          <w:sz w:val="24"/>
          <w:szCs w:val="24"/>
          <w:shd w:val="clear" w:color="auto" w:fill="FFFFFF"/>
        </w:rPr>
        <w:t>H</w:t>
      </w:r>
      <w:r w:rsidR="00D6164F" w:rsidRPr="00AF1EC1">
        <w:rPr>
          <w:rFonts w:ascii="Times New Roman" w:hAnsi="Times New Roman" w:cs="Times New Roman"/>
          <w:b/>
          <w:color w:val="1B1B1B"/>
          <w:sz w:val="24"/>
          <w:szCs w:val="24"/>
          <w:shd w:val="clear" w:color="auto" w:fill="FFFFFF"/>
        </w:rPr>
        <w:t>uman development.</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Human development is defined as the process expanding and enhancing opportunities and freedom. It is simply the development of the richness of humanity rather than the richness of the economy. It involves improving individuals' lives. It focuses on the freedom that individuals pose to choose their ways of life. Instead of assuming that the economic growth will improve the living standards, human development puts its focus on improving human lives. People's abilities are developed and opportunities provided to use those abilities (Wald, 2012). For instance, going through the education system for over 15 years and then securing a job related to one's career. The key foundations for human development include access to essential resources for a reasonable lifestyle, longer lifespan, health, creativity, and innovation. Human development is usually the background of progress in other aspects of life. Fundamentally, human development is involved with providing opportunities and choices (Baumgartner, 2013). The choices made by an individual are their own responsibility and is no guarantee of the individual's happiness. Human development should provide platforms where persons in groups and individuals can develop to their full capacity and where they have high chances of living the creative lives they value. Human development has always been an assurance of a sustainable, equitable and stable society.</w:t>
      </w:r>
    </w:p>
    <w:p w:rsidR="00AF1EC1" w:rsidRPr="00AF1EC1" w:rsidRDefault="00AF1EC1" w:rsidP="00AF1EC1">
      <w:pPr>
        <w:spacing w:line="480" w:lineRule="auto"/>
        <w:ind w:firstLine="720"/>
        <w:jc w:val="center"/>
        <w:rPr>
          <w:rFonts w:ascii="Times New Roman" w:hAnsi="Times New Roman" w:cs="Times New Roman"/>
          <w:b/>
          <w:sz w:val="24"/>
          <w:szCs w:val="24"/>
        </w:rPr>
      </w:pPr>
      <w:r w:rsidRPr="00AF1EC1">
        <w:rPr>
          <w:rFonts w:ascii="Times New Roman" w:hAnsi="Times New Roman" w:cs="Times New Roman"/>
          <w:b/>
          <w:sz w:val="24"/>
          <w:szCs w:val="24"/>
        </w:rPr>
        <w:t>Adult development in higher education.</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 xml:space="preserve">Adult development is a subset of human development. Adult development refers to the social, cognitive, emotional and physical changes that adults undergo when they are aging. Reviews have been conducted on adult development relating to higher education. The literature </w:t>
      </w:r>
      <w:r w:rsidRPr="00AF1EC1">
        <w:rPr>
          <w:rFonts w:ascii="Times New Roman" w:hAnsi="Times New Roman" w:cs="Times New Roman"/>
          <w:sz w:val="24"/>
          <w:szCs w:val="24"/>
        </w:rPr>
        <w:lastRenderedPageBreak/>
        <w:t xml:space="preserve">on adult development is classified into two that is, the essential characteristics or features of the adult life cycle and the stages of development that have no relation with age (Weathersby &amp; Tarule, 2015). Life cycle stages usually incorporate life structure, age, social class, culture, ethnicity and sexual differences. </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In the context of higher education, adult development can be viewed as the social, cognitive, intellectual and psychological achievements which people at the post-adolescent stage achieve as a result of teaching and learning. There is an assertion that higher education accords adults the foundation of learning different aspects which might either be positive or negative and these are in most cases preserved until the end of one's life. The changes achieved through higher education may either be gradual or rapid, and these can be used in evaluating the kind of curriculum in these institutions and its effectiveness (Knowles Holton &amp; Swanson, 2014). The negative adult development aspects make adults stagnant or docile while the positive aspects make them progressive and active.</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Positive adult development is a very central aspect of higher education as people can achieve positive changes in their physical, cognitive, social and emotional aspects. In most cases, universities and other institutions of higher learning teach the young adults different aspects of growth and development, and when they are efficiently inculcated, then positive adult development becomes inevitable. Positive adult development achieved through higher education is very crucial in the lives of all people as this development also promotes effective ageing, learning, personal and professional empowerment.</w:t>
      </w:r>
    </w:p>
    <w:p w:rsidR="00AF1EC1" w:rsidRDefault="00AF1EC1" w:rsidP="00AF1EC1">
      <w:pPr>
        <w:spacing w:line="480" w:lineRule="auto"/>
        <w:ind w:firstLine="720"/>
        <w:rPr>
          <w:rFonts w:ascii="Times New Roman" w:hAnsi="Times New Roman" w:cs="Times New Roman"/>
          <w:sz w:val="24"/>
          <w:szCs w:val="24"/>
        </w:rPr>
      </w:pPr>
    </w:p>
    <w:p w:rsidR="00AF1EC1" w:rsidRDefault="00AF1EC1" w:rsidP="00AF1EC1">
      <w:pPr>
        <w:spacing w:line="480" w:lineRule="auto"/>
        <w:ind w:firstLine="720"/>
        <w:rPr>
          <w:rFonts w:ascii="Times New Roman" w:hAnsi="Times New Roman" w:cs="Times New Roman"/>
          <w:sz w:val="24"/>
          <w:szCs w:val="24"/>
        </w:rPr>
      </w:pPr>
    </w:p>
    <w:p w:rsidR="00AF1EC1" w:rsidRPr="00AF1EC1" w:rsidRDefault="00AF1EC1" w:rsidP="00AF1EC1">
      <w:pPr>
        <w:spacing w:line="480" w:lineRule="auto"/>
        <w:ind w:firstLine="720"/>
        <w:jc w:val="center"/>
        <w:rPr>
          <w:rFonts w:ascii="Times New Roman" w:hAnsi="Times New Roman" w:cs="Times New Roman"/>
          <w:b/>
          <w:sz w:val="24"/>
          <w:szCs w:val="24"/>
        </w:rPr>
      </w:pPr>
      <w:r w:rsidRPr="00AF1EC1">
        <w:rPr>
          <w:rFonts w:ascii="Times New Roman" w:hAnsi="Times New Roman" w:cs="Times New Roman"/>
          <w:b/>
          <w:sz w:val="24"/>
          <w:szCs w:val="24"/>
        </w:rPr>
        <w:lastRenderedPageBreak/>
        <w:t>Positive adult development in higher education.</w:t>
      </w:r>
    </w:p>
    <w:p w:rsid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Positive adult development basically focuses on all the worthwhile achievements of adults which are inculcated through higher education; learning and training. It is argued that higher education enables adults to develop very key aspects of positive adult development and these are inclusive of knowledge, experience, expertise, wisdom, and spirituality. Through higher education, adults acquire skills, facts, and information which are both theoretical and practical and this information is usually specific or general to a specific subject. The experience garnered in higher education which is a characteristic of positive adult development is the mark of the mastery of an event or a subject especially through involvement and exposure.</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 xml:space="preserve"> As Papalia et al., (2016) argue, the curriculum of higher education should be practical, and through this, interaction of the adults with the entire environment leads to accumulation of experience. Through interaction with the curriculum and the pedagogy, positive adult development is evident whereby the learners achieve prolonged experience through practice. As noted, expertise is a characteristic of positive adult education achieved in higher education, and all experts are arguably reliable sources of techniques, skills as well as information. Also, higher education is the basis of wisdom in positive adult development. Wisdom is arguably the basis of rational thinking, the use of common sense and insight in tackling diverse tasks.</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 xml:space="preserve">As Knowles Holton &amp; Swanson (2014), argue, it is prudent to determine whether a particular development in adulthood is positive or not and to do so effectively; a value judgment must be made. This sort of judgment determines whether the kind of change achieved through higher education is optimal and progressive. In examining the positive developments achieved in higher education, it becomes possible to segregate the outcomes which are negative or </w:t>
      </w:r>
      <w:r w:rsidRPr="00AF1EC1">
        <w:rPr>
          <w:rFonts w:ascii="Times New Roman" w:hAnsi="Times New Roman" w:cs="Times New Roman"/>
          <w:sz w:val="24"/>
          <w:szCs w:val="24"/>
        </w:rPr>
        <w:lastRenderedPageBreak/>
        <w:t>destructive.  Kasworm, (2015), states that higher education should lead to positive adult development whereby people become hierarchically complex, more adaptive, less biased, happier and healthier, virtues and more ethical. The curriculum of higher education is apparently set in a way that enables people who are in the post-adolescent stage to achieve all these traits and also to distinguish between good, bad, right and wrong.</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In measuring positive adult development achieved through higher learning, both qualitative and quantitative changes in humans must be examined. In measuring the quantitative changes, key focus is based on a person's intelligence, maturity, authenticity as well as aspects of concern to self-actualization. As hinted, higher education should aid a person in growing holistically, and this is usually the basis of achieving self-actualization (Kasworm, 2015). The qualitative measurement can be an analysis of the changes or the impact an adult who has been exposed to higher education makes regarding critical thinking or decision making and rationality.</w:t>
      </w:r>
    </w:p>
    <w:p w:rsidR="00AF1EC1" w:rsidRPr="00AF1EC1" w:rsidRDefault="00AF1EC1" w:rsidP="00AF1EC1">
      <w:pPr>
        <w:spacing w:line="480" w:lineRule="auto"/>
        <w:ind w:firstLine="720"/>
        <w:rPr>
          <w:rFonts w:ascii="Times New Roman" w:hAnsi="Times New Roman" w:cs="Times New Roman"/>
          <w:sz w:val="24"/>
          <w:szCs w:val="24"/>
        </w:rPr>
      </w:pPr>
      <w:r w:rsidRPr="00AF1EC1">
        <w:rPr>
          <w:rFonts w:ascii="Times New Roman" w:hAnsi="Times New Roman" w:cs="Times New Roman"/>
          <w:sz w:val="24"/>
          <w:szCs w:val="24"/>
        </w:rPr>
        <w:t>To sum up, it can be asserted that positive adult development is key aspect which should be exhibited by all people who are exposed to higher education. This development can be analyzed through the way adults behave and utilize physical, social, cultural, educational and spiritual elements in bettering themselves and the society. In other words, adults who have been exposed to higher education should be role models, and their impacts should be felt by the entire society.</w:t>
      </w:r>
    </w:p>
    <w:p w:rsidR="00AF1EC1" w:rsidRDefault="00AF1EC1" w:rsidP="00AF1EC1">
      <w:pPr>
        <w:spacing w:line="480" w:lineRule="auto"/>
        <w:jc w:val="center"/>
        <w:rPr>
          <w:rFonts w:ascii="Times New Roman" w:hAnsi="Times New Roman" w:cs="Times New Roman"/>
          <w:sz w:val="24"/>
          <w:szCs w:val="24"/>
        </w:rPr>
      </w:pPr>
    </w:p>
    <w:p w:rsidR="00AF1EC1" w:rsidRDefault="00AF1EC1" w:rsidP="00AF1EC1">
      <w:pPr>
        <w:spacing w:line="480" w:lineRule="auto"/>
        <w:jc w:val="center"/>
        <w:rPr>
          <w:rFonts w:ascii="Times New Roman" w:hAnsi="Times New Roman" w:cs="Times New Roman"/>
          <w:sz w:val="24"/>
          <w:szCs w:val="24"/>
        </w:rPr>
      </w:pPr>
    </w:p>
    <w:p w:rsidR="00AF1EC1" w:rsidRDefault="00AF1EC1" w:rsidP="00AF1EC1">
      <w:pPr>
        <w:spacing w:line="480" w:lineRule="auto"/>
        <w:rPr>
          <w:rFonts w:ascii="Times New Roman" w:hAnsi="Times New Roman" w:cs="Times New Roman"/>
          <w:sz w:val="24"/>
          <w:szCs w:val="24"/>
        </w:rPr>
      </w:pPr>
    </w:p>
    <w:p w:rsidR="00AF1EC1" w:rsidRDefault="00AF1EC1" w:rsidP="00AF1EC1">
      <w:pPr>
        <w:spacing w:line="480" w:lineRule="auto"/>
        <w:jc w:val="center"/>
        <w:rPr>
          <w:rFonts w:ascii="Times New Roman" w:hAnsi="Times New Roman" w:cs="Times New Roman"/>
          <w:sz w:val="24"/>
          <w:szCs w:val="24"/>
        </w:rPr>
      </w:pPr>
      <w:r w:rsidRPr="00AF1EC1">
        <w:rPr>
          <w:rFonts w:ascii="Times New Roman" w:hAnsi="Times New Roman" w:cs="Times New Roman"/>
          <w:sz w:val="24"/>
          <w:szCs w:val="24"/>
        </w:rPr>
        <w:lastRenderedPageBreak/>
        <w:t>References.</w:t>
      </w:r>
    </w:p>
    <w:p w:rsidR="001D4C8B" w:rsidRPr="00AF1EC1" w:rsidRDefault="00AF1EC1" w:rsidP="00AF1EC1">
      <w:pPr>
        <w:spacing w:line="480" w:lineRule="auto"/>
        <w:ind w:left="720" w:hanging="720"/>
        <w:rPr>
          <w:rFonts w:ascii="Times New Roman" w:hAnsi="Times New Roman" w:cs="Times New Roman"/>
          <w:sz w:val="24"/>
          <w:szCs w:val="24"/>
        </w:rPr>
      </w:pPr>
      <w:r w:rsidRPr="00AF1EC1">
        <w:rPr>
          <w:rFonts w:ascii="Times New Roman" w:hAnsi="Times New Roman" w:cs="Times New Roman"/>
          <w:sz w:val="24"/>
          <w:szCs w:val="24"/>
        </w:rPr>
        <w:t xml:space="preserve"> </w:t>
      </w:r>
      <w:r w:rsidR="00D6164F" w:rsidRPr="00AF1EC1">
        <w:rPr>
          <w:rFonts w:ascii="Times New Roman" w:hAnsi="Times New Roman" w:cs="Times New Roman"/>
          <w:sz w:val="24"/>
          <w:szCs w:val="24"/>
        </w:rPr>
        <w:t>Baumgartner, L. M. (2013</w:t>
      </w:r>
      <w:r w:rsidR="0097558A" w:rsidRPr="00AF1EC1">
        <w:rPr>
          <w:rFonts w:ascii="Times New Roman" w:hAnsi="Times New Roman" w:cs="Times New Roman"/>
          <w:sz w:val="24"/>
          <w:szCs w:val="24"/>
        </w:rPr>
        <w:t>). Four adult development theories and their implications for practice. Focus on basics, 5(B), 29-34.</w:t>
      </w:r>
    </w:p>
    <w:p w:rsidR="004E3991" w:rsidRPr="00AF1EC1" w:rsidRDefault="004E3991" w:rsidP="00AF1EC1">
      <w:pPr>
        <w:spacing w:line="480" w:lineRule="auto"/>
        <w:ind w:left="720" w:hanging="720"/>
        <w:rPr>
          <w:rFonts w:ascii="Times New Roman" w:hAnsi="Times New Roman" w:cs="Times New Roman"/>
          <w:color w:val="222222"/>
          <w:sz w:val="24"/>
          <w:szCs w:val="24"/>
          <w:shd w:val="clear" w:color="auto" w:fill="FFFFFF"/>
        </w:rPr>
      </w:pPr>
      <w:r w:rsidRPr="00AF1EC1">
        <w:rPr>
          <w:rFonts w:ascii="Times New Roman" w:hAnsi="Times New Roman" w:cs="Times New Roman"/>
          <w:color w:val="222222"/>
          <w:sz w:val="24"/>
          <w:szCs w:val="24"/>
          <w:shd w:val="clear" w:color="auto" w:fill="FFFFFF"/>
        </w:rPr>
        <w:t>Kasworm, C. E. (2015). Adult undergraduates in higher education: A review of past research perspectives. </w:t>
      </w:r>
      <w:r w:rsidRPr="00AF1EC1">
        <w:rPr>
          <w:rFonts w:ascii="Times New Roman" w:hAnsi="Times New Roman" w:cs="Times New Roman"/>
          <w:i/>
          <w:iCs/>
          <w:color w:val="222222"/>
          <w:sz w:val="24"/>
          <w:szCs w:val="24"/>
          <w:shd w:val="clear" w:color="auto" w:fill="FFFFFF"/>
        </w:rPr>
        <w:t>Review of Educational Research</w:t>
      </w:r>
      <w:r w:rsidRPr="00AF1EC1">
        <w:rPr>
          <w:rFonts w:ascii="Times New Roman" w:hAnsi="Times New Roman" w:cs="Times New Roman"/>
          <w:color w:val="222222"/>
          <w:sz w:val="24"/>
          <w:szCs w:val="24"/>
          <w:shd w:val="clear" w:color="auto" w:fill="FFFFFF"/>
        </w:rPr>
        <w:t>, </w:t>
      </w:r>
      <w:r w:rsidRPr="00AF1EC1">
        <w:rPr>
          <w:rFonts w:ascii="Times New Roman" w:hAnsi="Times New Roman" w:cs="Times New Roman"/>
          <w:i/>
          <w:iCs/>
          <w:color w:val="222222"/>
          <w:sz w:val="24"/>
          <w:szCs w:val="24"/>
          <w:shd w:val="clear" w:color="auto" w:fill="FFFFFF"/>
        </w:rPr>
        <w:t>60</w:t>
      </w:r>
      <w:r w:rsidRPr="00AF1EC1">
        <w:rPr>
          <w:rFonts w:ascii="Times New Roman" w:hAnsi="Times New Roman" w:cs="Times New Roman"/>
          <w:color w:val="222222"/>
          <w:sz w:val="24"/>
          <w:szCs w:val="24"/>
          <w:shd w:val="clear" w:color="auto" w:fill="FFFFFF"/>
        </w:rPr>
        <w:t>(3), 345-372.</w:t>
      </w:r>
    </w:p>
    <w:p w:rsidR="004E3991" w:rsidRPr="00AF1EC1" w:rsidRDefault="004E3991" w:rsidP="00AF1EC1">
      <w:pPr>
        <w:spacing w:line="480" w:lineRule="auto"/>
        <w:ind w:left="720" w:hanging="720"/>
        <w:rPr>
          <w:rFonts w:ascii="Times New Roman" w:hAnsi="Times New Roman" w:cs="Times New Roman"/>
          <w:color w:val="222222"/>
          <w:sz w:val="24"/>
          <w:szCs w:val="24"/>
          <w:shd w:val="clear" w:color="auto" w:fill="FFFFFF"/>
        </w:rPr>
      </w:pPr>
      <w:r w:rsidRPr="00AF1EC1">
        <w:rPr>
          <w:rFonts w:ascii="Times New Roman" w:hAnsi="Times New Roman" w:cs="Times New Roman"/>
          <w:color w:val="222222"/>
          <w:sz w:val="24"/>
          <w:szCs w:val="24"/>
          <w:shd w:val="clear" w:color="auto" w:fill="FFFFFF"/>
        </w:rPr>
        <w:t>Knowles, M. S., Holton III, E. F., &amp; Swanson, R. A. (2014). </w:t>
      </w:r>
      <w:r w:rsidRPr="00AF1EC1">
        <w:rPr>
          <w:rFonts w:ascii="Times New Roman" w:hAnsi="Times New Roman" w:cs="Times New Roman"/>
          <w:i/>
          <w:iCs/>
          <w:color w:val="222222"/>
          <w:sz w:val="24"/>
          <w:szCs w:val="24"/>
          <w:shd w:val="clear" w:color="auto" w:fill="FFFFFF"/>
        </w:rPr>
        <w:t>The adult learner: The definitive classic in adult education and human resource development</w:t>
      </w:r>
      <w:r w:rsidRPr="00AF1EC1">
        <w:rPr>
          <w:rFonts w:ascii="Times New Roman" w:hAnsi="Times New Roman" w:cs="Times New Roman"/>
          <w:color w:val="222222"/>
          <w:sz w:val="24"/>
          <w:szCs w:val="24"/>
          <w:shd w:val="clear" w:color="auto" w:fill="FFFFFF"/>
        </w:rPr>
        <w:t>. Routledge.</w:t>
      </w:r>
    </w:p>
    <w:p w:rsidR="004E3991" w:rsidRPr="00AF1EC1" w:rsidRDefault="004E3991" w:rsidP="00AF1EC1">
      <w:pPr>
        <w:spacing w:line="480" w:lineRule="auto"/>
        <w:ind w:left="720" w:hanging="720"/>
        <w:rPr>
          <w:rFonts w:ascii="Times New Roman" w:hAnsi="Times New Roman" w:cs="Times New Roman"/>
          <w:sz w:val="24"/>
          <w:szCs w:val="24"/>
        </w:rPr>
      </w:pPr>
      <w:r w:rsidRPr="00AF1EC1">
        <w:rPr>
          <w:rFonts w:ascii="Times New Roman" w:hAnsi="Times New Roman" w:cs="Times New Roman"/>
          <w:color w:val="222222"/>
          <w:sz w:val="24"/>
          <w:szCs w:val="24"/>
          <w:shd w:val="clear" w:color="auto" w:fill="FFFFFF"/>
        </w:rPr>
        <w:t>Papalia, D. E., Sterns, H., Feldman, R. D., &amp; Camp, C. (2016). </w:t>
      </w:r>
      <w:r w:rsidRPr="00AF1EC1">
        <w:rPr>
          <w:rFonts w:ascii="Times New Roman" w:hAnsi="Times New Roman" w:cs="Times New Roman"/>
          <w:i/>
          <w:iCs/>
          <w:color w:val="222222"/>
          <w:sz w:val="24"/>
          <w:szCs w:val="24"/>
          <w:shd w:val="clear" w:color="auto" w:fill="FFFFFF"/>
        </w:rPr>
        <w:t>Adult development and aging</w:t>
      </w:r>
      <w:r w:rsidRPr="00AF1EC1">
        <w:rPr>
          <w:rFonts w:ascii="Times New Roman" w:hAnsi="Times New Roman" w:cs="Times New Roman"/>
          <w:color w:val="222222"/>
          <w:sz w:val="24"/>
          <w:szCs w:val="24"/>
          <w:shd w:val="clear" w:color="auto" w:fill="FFFFFF"/>
        </w:rPr>
        <w:t>. McGraw-Hill Humanities/Social Sciences/Languages.</w:t>
      </w:r>
    </w:p>
    <w:p w:rsidR="001D4C8B" w:rsidRPr="00AF1EC1" w:rsidRDefault="00D6164F" w:rsidP="00AF1EC1">
      <w:pPr>
        <w:spacing w:line="480" w:lineRule="auto"/>
        <w:ind w:left="720" w:hanging="720"/>
        <w:rPr>
          <w:rFonts w:ascii="Times New Roman" w:hAnsi="Times New Roman" w:cs="Times New Roman"/>
          <w:sz w:val="24"/>
          <w:szCs w:val="24"/>
        </w:rPr>
      </w:pPr>
      <w:r w:rsidRPr="00AF1EC1">
        <w:rPr>
          <w:rFonts w:ascii="Times New Roman" w:hAnsi="Times New Roman" w:cs="Times New Roman"/>
          <w:sz w:val="24"/>
          <w:szCs w:val="24"/>
        </w:rPr>
        <w:t>Wald, R. (2012</w:t>
      </w:r>
      <w:r w:rsidR="001D4C8B" w:rsidRPr="00AF1EC1">
        <w:rPr>
          <w:rFonts w:ascii="Times New Roman" w:hAnsi="Times New Roman" w:cs="Times New Roman"/>
          <w:sz w:val="24"/>
          <w:szCs w:val="24"/>
        </w:rPr>
        <w:t>). Adult development: Implications for teaching and learning. Innovative Higher Education, 8(2), 84-93.</w:t>
      </w:r>
    </w:p>
    <w:p w:rsidR="0097558A" w:rsidRPr="00AF1EC1" w:rsidRDefault="0097558A" w:rsidP="00AF1EC1">
      <w:pPr>
        <w:spacing w:line="480" w:lineRule="auto"/>
        <w:ind w:left="720" w:hanging="720"/>
        <w:rPr>
          <w:rFonts w:ascii="Times New Roman" w:hAnsi="Times New Roman" w:cs="Times New Roman"/>
          <w:sz w:val="24"/>
          <w:szCs w:val="24"/>
        </w:rPr>
      </w:pPr>
      <w:r w:rsidRPr="00AF1EC1">
        <w:rPr>
          <w:rFonts w:ascii="Times New Roman" w:hAnsi="Times New Roman" w:cs="Times New Roman"/>
          <w:sz w:val="24"/>
          <w:szCs w:val="24"/>
        </w:rPr>
        <w:t>Weathersby, R. P., &amp;</w:t>
      </w:r>
      <w:r w:rsidR="00D6164F" w:rsidRPr="00AF1EC1">
        <w:rPr>
          <w:rFonts w:ascii="Times New Roman" w:hAnsi="Times New Roman" w:cs="Times New Roman"/>
          <w:sz w:val="24"/>
          <w:szCs w:val="24"/>
        </w:rPr>
        <w:t xml:space="preserve"> Tarule, J. M. (2015</w:t>
      </w:r>
      <w:r w:rsidRPr="00AF1EC1">
        <w:rPr>
          <w:rFonts w:ascii="Times New Roman" w:hAnsi="Times New Roman" w:cs="Times New Roman"/>
          <w:sz w:val="24"/>
          <w:szCs w:val="24"/>
        </w:rPr>
        <w:t>). Adult Development: Implications for Higher Education. AAHE-ERIC/Higher Education Research Report No. 4, 1980.</w:t>
      </w:r>
    </w:p>
    <w:p w:rsidR="001D4C8B" w:rsidRPr="00AF1EC1" w:rsidRDefault="001D4C8B" w:rsidP="00AF1EC1">
      <w:pPr>
        <w:spacing w:line="480" w:lineRule="auto"/>
        <w:rPr>
          <w:rFonts w:ascii="Times New Roman" w:hAnsi="Times New Roman" w:cs="Times New Roman"/>
          <w:sz w:val="24"/>
          <w:szCs w:val="24"/>
        </w:rPr>
      </w:pPr>
      <w:bookmarkStart w:id="0" w:name="_GoBack"/>
      <w:bookmarkEnd w:id="0"/>
    </w:p>
    <w:p w:rsidR="001D4C8B" w:rsidRPr="00AF1EC1" w:rsidRDefault="001D4C8B" w:rsidP="00AF1EC1">
      <w:pPr>
        <w:spacing w:line="480" w:lineRule="auto"/>
        <w:rPr>
          <w:rFonts w:ascii="Times New Roman" w:hAnsi="Times New Roman" w:cs="Times New Roman"/>
          <w:sz w:val="24"/>
          <w:szCs w:val="24"/>
        </w:rPr>
      </w:pPr>
    </w:p>
    <w:sectPr w:rsidR="001D4C8B" w:rsidRPr="00AF1EC1" w:rsidSect="00D616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3A8" w:rsidRDefault="009403A8" w:rsidP="00D6164F">
      <w:pPr>
        <w:spacing w:after="0" w:line="240" w:lineRule="auto"/>
      </w:pPr>
      <w:r>
        <w:separator/>
      </w:r>
    </w:p>
  </w:endnote>
  <w:endnote w:type="continuationSeparator" w:id="1">
    <w:p w:rsidR="009403A8" w:rsidRDefault="009403A8" w:rsidP="00D616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3A8" w:rsidRDefault="009403A8" w:rsidP="00D6164F">
      <w:pPr>
        <w:spacing w:after="0" w:line="240" w:lineRule="auto"/>
      </w:pPr>
      <w:r>
        <w:separator/>
      </w:r>
    </w:p>
  </w:footnote>
  <w:footnote w:type="continuationSeparator" w:id="1">
    <w:p w:rsidR="009403A8" w:rsidRDefault="009403A8" w:rsidP="00D616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4F" w:rsidRDefault="00D6164F">
    <w:pPr>
      <w:pStyle w:val="Header"/>
    </w:pPr>
    <w:r w:rsidRPr="00D6164F">
      <w:rPr>
        <w:rFonts w:ascii="Times New Roman" w:hAnsi="Times New Roman" w:cs="Times New Roman"/>
        <w:color w:val="1B1B1B"/>
        <w:sz w:val="24"/>
        <w:szCs w:val="24"/>
        <w:shd w:val="clear" w:color="auto" w:fill="FFFFFF"/>
      </w:rPr>
      <w:t>HUMAN DEVELOPMENT IN HIGHER EDUCATION.</w:t>
    </w:r>
    <w:r>
      <w:rPr>
        <w:rFonts w:ascii="Times New Roman" w:hAnsi="Times New Roman" w:cs="Times New Roman"/>
        <w:color w:val="1B1B1B"/>
        <w:sz w:val="24"/>
        <w:szCs w:val="24"/>
        <w:shd w:val="clear" w:color="auto" w:fill="FFFFFF"/>
      </w:rPr>
      <w:t xml:space="preserve">                                                             </w:t>
    </w:r>
    <w:r w:rsidRPr="00D6164F">
      <w:rPr>
        <w:rFonts w:ascii="Times New Roman" w:hAnsi="Times New Roman" w:cs="Times New Roman"/>
        <w:color w:val="1B1B1B"/>
        <w:sz w:val="24"/>
        <w:szCs w:val="24"/>
        <w:shd w:val="clear" w:color="auto" w:fill="FFFFFF"/>
      </w:rPr>
      <w:fldChar w:fldCharType="begin"/>
    </w:r>
    <w:r w:rsidRPr="00D6164F">
      <w:rPr>
        <w:rFonts w:ascii="Times New Roman" w:hAnsi="Times New Roman" w:cs="Times New Roman"/>
        <w:color w:val="1B1B1B"/>
        <w:sz w:val="24"/>
        <w:szCs w:val="24"/>
        <w:shd w:val="clear" w:color="auto" w:fill="FFFFFF"/>
      </w:rPr>
      <w:instrText xml:space="preserve"> PAGE   \* MERGEFORMAT </w:instrText>
    </w:r>
    <w:r w:rsidRPr="00D6164F">
      <w:rPr>
        <w:rFonts w:ascii="Times New Roman" w:hAnsi="Times New Roman" w:cs="Times New Roman"/>
        <w:color w:val="1B1B1B"/>
        <w:sz w:val="24"/>
        <w:szCs w:val="24"/>
        <w:shd w:val="clear" w:color="auto" w:fill="FFFFFF"/>
      </w:rPr>
      <w:fldChar w:fldCharType="separate"/>
    </w:r>
    <w:r w:rsidR="00894C05">
      <w:rPr>
        <w:rFonts w:ascii="Times New Roman" w:hAnsi="Times New Roman" w:cs="Times New Roman"/>
        <w:noProof/>
        <w:color w:val="1B1B1B"/>
        <w:sz w:val="24"/>
        <w:szCs w:val="24"/>
        <w:shd w:val="clear" w:color="auto" w:fill="FFFFFF"/>
      </w:rPr>
      <w:t>6</w:t>
    </w:r>
    <w:r w:rsidRPr="00D6164F">
      <w:rPr>
        <w:rFonts w:ascii="Times New Roman" w:hAnsi="Times New Roman" w:cs="Times New Roman"/>
        <w:color w:val="1B1B1B"/>
        <w:sz w:val="24"/>
        <w:szCs w:val="24"/>
        <w:shd w:val="clear" w:color="auto" w:fill="FFFFFF"/>
      </w:rPr>
      <w:fldChar w:fldCharType="end"/>
    </w:r>
  </w:p>
  <w:p w:rsidR="00D6164F" w:rsidRDefault="00D616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4F" w:rsidRPr="00D6164F" w:rsidRDefault="00D6164F" w:rsidP="00D6164F">
    <w:pPr>
      <w:pStyle w:val="Header"/>
      <w:spacing w:line="480" w:lineRule="auto"/>
      <w:rPr>
        <w:rFonts w:ascii="Times New Roman" w:hAnsi="Times New Roman" w:cs="Times New Roman"/>
        <w:sz w:val="24"/>
        <w:szCs w:val="24"/>
      </w:rPr>
    </w:pPr>
    <w:r w:rsidRPr="00D6164F">
      <w:rPr>
        <w:rFonts w:ascii="Times New Roman" w:hAnsi="Times New Roman" w:cs="Times New Roman"/>
        <w:sz w:val="24"/>
        <w:szCs w:val="24"/>
      </w:rPr>
      <w:t>Running Head:</w:t>
    </w:r>
    <w:r w:rsidRPr="00D6164F">
      <w:rPr>
        <w:rFonts w:ascii="Times New Roman" w:hAnsi="Times New Roman" w:cs="Times New Roman"/>
        <w:color w:val="1B1B1B"/>
        <w:sz w:val="24"/>
        <w:szCs w:val="24"/>
        <w:shd w:val="clear" w:color="auto" w:fill="FFFFFF"/>
      </w:rPr>
      <w:t xml:space="preserve"> HUMAN DEVELOPMENT IN HIGHER EDUCATION.</w:t>
    </w:r>
    <w:r>
      <w:rPr>
        <w:rFonts w:ascii="Times New Roman" w:hAnsi="Times New Roman" w:cs="Times New Roman"/>
        <w:color w:val="1B1B1B"/>
        <w:sz w:val="24"/>
        <w:szCs w:val="24"/>
        <w:shd w:val="clear" w:color="auto" w:fill="FFFFFF"/>
      </w:rPr>
      <w:t xml:space="preserve">                                   </w:t>
    </w:r>
    <w:r w:rsidRPr="00D6164F">
      <w:rPr>
        <w:rFonts w:ascii="Times New Roman" w:hAnsi="Times New Roman" w:cs="Times New Roman"/>
        <w:color w:val="1B1B1B"/>
        <w:sz w:val="24"/>
        <w:szCs w:val="24"/>
        <w:shd w:val="clear" w:color="auto" w:fill="FFFFFF"/>
      </w:rPr>
      <w:fldChar w:fldCharType="begin"/>
    </w:r>
    <w:r w:rsidRPr="00D6164F">
      <w:rPr>
        <w:rFonts w:ascii="Times New Roman" w:hAnsi="Times New Roman" w:cs="Times New Roman"/>
        <w:color w:val="1B1B1B"/>
        <w:sz w:val="24"/>
        <w:szCs w:val="24"/>
        <w:shd w:val="clear" w:color="auto" w:fill="FFFFFF"/>
      </w:rPr>
      <w:instrText xml:space="preserve"> PAGE   \* MERGEFORMAT </w:instrText>
    </w:r>
    <w:r w:rsidRPr="00D6164F">
      <w:rPr>
        <w:rFonts w:ascii="Times New Roman" w:hAnsi="Times New Roman" w:cs="Times New Roman"/>
        <w:color w:val="1B1B1B"/>
        <w:sz w:val="24"/>
        <w:szCs w:val="24"/>
        <w:shd w:val="clear" w:color="auto" w:fill="FFFFFF"/>
      </w:rPr>
      <w:fldChar w:fldCharType="separate"/>
    </w:r>
    <w:r w:rsidR="00894C05">
      <w:rPr>
        <w:rFonts w:ascii="Times New Roman" w:hAnsi="Times New Roman" w:cs="Times New Roman"/>
        <w:noProof/>
        <w:color w:val="1B1B1B"/>
        <w:sz w:val="24"/>
        <w:szCs w:val="24"/>
        <w:shd w:val="clear" w:color="auto" w:fill="FFFFFF"/>
      </w:rPr>
      <w:t>1</w:t>
    </w:r>
    <w:r w:rsidRPr="00D6164F">
      <w:rPr>
        <w:rFonts w:ascii="Times New Roman" w:hAnsi="Times New Roman" w:cs="Times New Roman"/>
        <w:color w:val="1B1B1B"/>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313C3"/>
    <w:rsid w:val="00007060"/>
    <w:rsid w:val="0008125C"/>
    <w:rsid w:val="000E00DB"/>
    <w:rsid w:val="001D4C8B"/>
    <w:rsid w:val="002778ED"/>
    <w:rsid w:val="002E7684"/>
    <w:rsid w:val="0032640A"/>
    <w:rsid w:val="003A1CA5"/>
    <w:rsid w:val="00456F42"/>
    <w:rsid w:val="004E3991"/>
    <w:rsid w:val="006225BA"/>
    <w:rsid w:val="008313C3"/>
    <w:rsid w:val="00894C05"/>
    <w:rsid w:val="008F1A1B"/>
    <w:rsid w:val="009403A8"/>
    <w:rsid w:val="0097558A"/>
    <w:rsid w:val="00AF1EC1"/>
    <w:rsid w:val="00B97586"/>
    <w:rsid w:val="00C24CB8"/>
    <w:rsid w:val="00C31E23"/>
    <w:rsid w:val="00CA675C"/>
    <w:rsid w:val="00CC1C10"/>
    <w:rsid w:val="00D6164F"/>
    <w:rsid w:val="00FC57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F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64F"/>
  </w:style>
  <w:style w:type="paragraph" w:styleId="Footer">
    <w:name w:val="footer"/>
    <w:basedOn w:val="Normal"/>
    <w:link w:val="FooterChar"/>
    <w:uiPriority w:val="99"/>
    <w:semiHidden/>
    <w:unhideWhenUsed/>
    <w:rsid w:val="00D616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164F"/>
  </w:style>
  <w:style w:type="paragraph" w:styleId="BalloonText">
    <w:name w:val="Balloon Text"/>
    <w:basedOn w:val="Normal"/>
    <w:link w:val="BalloonTextChar"/>
    <w:uiPriority w:val="99"/>
    <w:semiHidden/>
    <w:unhideWhenUsed/>
    <w:rsid w:val="00D616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6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dc:creator>
  <cp:lastModifiedBy>ADM</cp:lastModifiedBy>
  <cp:revision>3</cp:revision>
  <dcterms:created xsi:type="dcterms:W3CDTF">2017-12-06T21:25:00Z</dcterms:created>
  <dcterms:modified xsi:type="dcterms:W3CDTF">2017-12-06T21:33:00Z</dcterms:modified>
</cp:coreProperties>
</file>